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B6" w:rsidRDefault="00CE39B6">
      <w:pPr>
        <w:widowControl w:val="0"/>
        <w:autoSpaceDE w:val="0"/>
        <w:autoSpaceDN w:val="0"/>
        <w:adjustRightInd w:val="0"/>
        <w:spacing w:after="0" w:line="240" w:lineRule="auto"/>
        <w:jc w:val="both"/>
        <w:outlineLvl w:val="0"/>
        <w:rPr>
          <w:rFonts w:ascii="Calibri" w:hAnsi="Calibri" w:cs="Calibri"/>
        </w:rPr>
      </w:pP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ПРОМЫШЛЕННОСТИ И ЭНЕРГЕТИКИ</w:t>
      </w: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E39B6" w:rsidRDefault="00CE39B6">
      <w:pPr>
        <w:widowControl w:val="0"/>
        <w:autoSpaceDE w:val="0"/>
        <w:autoSpaceDN w:val="0"/>
        <w:adjustRightInd w:val="0"/>
        <w:spacing w:after="0" w:line="240" w:lineRule="auto"/>
        <w:jc w:val="center"/>
        <w:rPr>
          <w:rFonts w:ascii="Calibri" w:hAnsi="Calibri" w:cs="Calibri"/>
          <w:b/>
          <w:bCs/>
        </w:rPr>
      </w:pP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ноября 2004 г. N ИМ-1374</w:t>
      </w:r>
    </w:p>
    <w:p w:rsidR="00CE39B6" w:rsidRDefault="00CE39B6">
      <w:pPr>
        <w:widowControl w:val="0"/>
        <w:autoSpaceDE w:val="0"/>
        <w:autoSpaceDN w:val="0"/>
        <w:adjustRightInd w:val="0"/>
        <w:spacing w:after="0" w:line="240" w:lineRule="auto"/>
        <w:jc w:val="center"/>
        <w:rPr>
          <w:rFonts w:ascii="Calibri" w:hAnsi="Calibri" w:cs="Calibri"/>
          <w:b/>
          <w:bCs/>
        </w:rPr>
      </w:pP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ОКАЗАНИИ УСЛУГ</w:t>
      </w:r>
    </w:p>
    <w:p w:rsidR="00CE39B6" w:rsidRDefault="00CE39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КОМПЕНСАЦИИ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участившимися обращениями субъектов регулирования по вопросам расчетов за компенсацию реактивной энергии (мощности) Министерство промышленности и энергетики Российской Федерации сообщает следующее.</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связанные с оказанием услуг по компенсации реактивной энергии (мощности), возникают из оснований, предусмотренных законодательством Российской Федерации, посредством заключения договора на оказание услуг по компенсации реактивной энергии (мощности). Оказание услуг по компенсации реактивной энергии (мощности) не является предметом и (или) условиями иных договоров, заключаемых в соответствии с действующим законодательством об электроэнергетике между субъектами электроэнергетики, договоров, заключаемых между субъектами электроэнергетики и потребителями электроэнергии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покупной электрической энергии и плата за присоединение к электрическим сетям и плата за передачу электрической энергии не учитывает расходы субъектов электроэнергетики и потребителей электрической энергии, связанные с оплатой услуг по компенсации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услуги по передаче электрической энергии устанавливаются с учетом нормативной величины расхода электрической энергии на ее передачу по электрическим сетям (нормативных потерь). Нормативная величина этого расхода электрической энергии (нормативные потери) устанавливается на основе методики, утвержденной в соответствии с п. 2 </w:t>
      </w:r>
      <w:hyperlink r:id="rId5" w:history="1">
        <w:r>
          <w:rPr>
            <w:rFonts w:ascii="Calibri" w:hAnsi="Calibri" w:cs="Calibri"/>
            <w:color w:val="0000FF"/>
          </w:rPr>
          <w:t>ст. 21</w:t>
        </w:r>
      </w:hyperlink>
      <w:r>
        <w:rPr>
          <w:rFonts w:ascii="Calibri" w:hAnsi="Calibri" w:cs="Calibri"/>
        </w:rPr>
        <w:t xml:space="preserve"> Федерального закона "Об электроэнергетике".</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Пересмотр оптимальных значений реактивной энергии (мощности) для узлов электрической сети, границ балансовой принадлежности электроустановок (мест присоединения электроустановок к электрической сети) производится не чаще одного раза в год (при регулировании стоимости услуг на передачу энергии).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принятия методики определения оптимальных значений реактивной энергии (мощности) возможно применение программ расчета экономических значений потребления реактивной энергии (мощности), используемых ранее энергоснабжающими организациями до отмены Правил пользования </w:t>
      </w:r>
      <w:hyperlink r:id="rId6" w:history="1">
        <w:r>
          <w:rPr>
            <w:rFonts w:ascii="Calibri" w:hAnsi="Calibri" w:cs="Calibri"/>
            <w:color w:val="0000FF"/>
          </w:rPr>
          <w:t>электрической</w:t>
        </w:r>
      </w:hyperlink>
      <w:r>
        <w:rPr>
          <w:rFonts w:ascii="Calibri" w:hAnsi="Calibri" w:cs="Calibri"/>
        </w:rPr>
        <w:t xml:space="preserve"> и </w:t>
      </w:r>
      <w:hyperlink r:id="rId7" w:history="1">
        <w:r>
          <w:rPr>
            <w:rFonts w:ascii="Calibri" w:hAnsi="Calibri" w:cs="Calibri"/>
            <w:color w:val="0000FF"/>
          </w:rPr>
          <w:t>тепловой</w:t>
        </w:r>
      </w:hyperlink>
      <w:r>
        <w:rPr>
          <w:rFonts w:ascii="Calibri" w:hAnsi="Calibri" w:cs="Calibri"/>
        </w:rPr>
        <w:t xml:space="preserve"> энергией, утвержденных Приказом Минэнерго СССР от 6 декабря 1981 г. N 310.</w:t>
      </w:r>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0" w:name="Par16"/>
      <w:bookmarkEnd w:id="0"/>
      <w:r>
        <w:rPr>
          <w:rFonts w:ascii="Calibri" w:hAnsi="Calibri" w:cs="Calibri"/>
        </w:rPr>
        <w:t>6. Потребители электрической энергии (мощности), электрические установки которых присоединены к электрической сети, субъекты электроэнергетики поддерживают оптимальный коэффициент реактивной энергии (мощности) на границах балансовой принадлежности электроустановок в соответствии с заключенными договорами присоединения к электрическим сетям или договорами оказания услуг по передаче электрической энергии (мощности), договорами энергоснабжения.</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реактивной нагрузки (мощности) у потребителя указывается в договоре присоединения к электрическим сетям либо договоре на оказание услуг по передаче электрической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7. Сторона договора на оказание услуг по передаче электрической энергии (договора присоединения), по вине которой допускается отклонение от оптимального, установленного договором значения tg фи, в соответствии с договорными обязательствами за свой счет восстанавливает оптимальное значение tg фи опт либо заключает договор на оказание услуг по компенсации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отказа стороны договора на оказание услуг по передаче электрической энергии </w:t>
      </w:r>
      <w:r>
        <w:rPr>
          <w:rFonts w:ascii="Calibri" w:hAnsi="Calibri" w:cs="Calibri"/>
        </w:rPr>
        <w:lastRenderedPageBreak/>
        <w:t>(договора присоединения), по вине которой допускается отклонение от оптимального значения tg фи, за свой счет восстановить оптимальное значение tg фи опт, другая сторона по данному договору на основании разрешения, выданного органами государственного энергетического надзора, вправе прекратить или ограничить подачу электрической энергии в соответствии с законодательством Российской Федерации и</w:t>
      </w:r>
      <w:proofErr w:type="gramEnd"/>
      <w:r>
        <w:rPr>
          <w:rFonts w:ascii="Calibri" w:hAnsi="Calibri" w:cs="Calibri"/>
        </w:rPr>
        <w:t xml:space="preserve"> взыскать ущерб в судебном порядке.</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Рекомендуется заключать следующие договоры на оказание услуг по компенсации реактивной энергии (мощности) (далее - Договор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услуг с использованием автоматизированных систем контроля и учета электрической энергии (мощности) (далее - АСКУЭ) - для субъектов электроэнергетики и потребителей электрической энергии (мощности) с присоединенной мощностью, равной и более 5 МВА;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услуг с использованием приборов учета максимума реактивной нагрузки и приборов учета реактивной энергии (мощности) - для субъектов электроэнергетики и потребителей электрической энергии (мощности) с присоединенной мощностью менее 5 МВА и более 0,75 МВА;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услуг с использованием приборов учета реактивной энергии (мощности) для субъектов электроэнергетики и потребителей электрической энергии с присоединенной мощностью менее 0,75 МВА.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Договоре услуг рекомендуется указывать:</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с использованием АСКУЭ - оптимальные значения потребления (выработки) реактивной энергии (мощности) в узле электрической сети на границе балансовой принадлежности электроустановок в виде характерного суточного графика, представленного на основе значений 30-минутной реактивной мощности, для различных периодов и дней года;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услуг с использованием приборов учета максимума реактивной нагрузки - периоды больших и малых активных нагрузок с указанием оптимального значения потребления (выработки) реактивной энергии (мощности) для каждого периода: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периодов максимальных суточных активных нагрузок (например: с 7 ч. 00 мин. до 11 ч. 00 мин. и с 16 ч. 00 мин. до 20 ч. 00 мин.) фиксация максимума реактивной нагрузки производится приборами учета максимума реактивной нагрузки;</w:t>
      </w:r>
    </w:p>
    <w:p w:rsidR="00CE39B6" w:rsidRDefault="00CE39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периодов минимальных суточных активных нагрузок (например: с 11 ч. 00 мин. до 16 ч. 00 мин. и с 20 ч. 00 мин. до 7 ч. 00 мин.) определение количества потребленной реактивной энергии (мощности) производится прибором (счетчиком) реактивной энергии (мощности);</w:t>
      </w:r>
      <w:proofErr w:type="gramEnd"/>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услуг с использованием приборов учета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ежемесячного потребления (выработки) реактивной энергии (мощности) для каждого месяца года, рассчитанная исходя из условия поддержания в течение суток оптимального значения реактивной энергии (мощности) (для использования приборов учета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способ контроля графика - величина ежемесячного потребления (выработки) реактивной энергии (мощности) для каждого месяца года, рассчитанная исходя из условия поддержания в течение суток оптимального значения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обмена информацией сторонами договора;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расчетов и стоимость оказанных услуг и отклонения от графика;</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граница балансовой принадлежности электроустановок сторон - место установки средств измерений реактивной энергии (мощности) и датчиков АСКУЭ;</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характеристики компенсирующих устройств, средств измерения и средств АСКУЭ.</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Расчетным периодом по Договору услуг рекомендуется установить один календарный месяц, если иное не определено соглашением сторон Договора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Договоре услуг рекомендуется указывать сроки расчетов за услуги по компенсации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Стоимость услуг по Договору услуг определяется на основании следующего:</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субъектов электроэнергетики и потребителей электрической энергии (мощности) с присоединенной мощностью, равной и более 5 МВА, оплате подлежит все количество компенсированной реактивной энергии (мощности) за расчетный период в соответствии с </w:t>
      </w:r>
      <w:r>
        <w:rPr>
          <w:rFonts w:ascii="Calibri" w:hAnsi="Calibri" w:cs="Calibri"/>
        </w:rPr>
        <w:lastRenderedPageBreak/>
        <w:t>фактическим графиком;</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субъектов электроэнергетики и потребителей электрической энергии (мощности) с присоединенной мощностью менее 5 МВА и более 0,75 МВА оплате подлежит количество, определяемое для суточных периодов нагрузок. Максимальное зафиксированное средством измерения реактивной энергии (мощности) значение реактивной мощности используется для определения количества во все часы периодов максимальных суточных нагрузок. Для периодов минимальных суточных нагрузок принимается все количество реактивной энергии (мощности), зафиксированное прибором учета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субъектов электроэнергетики и потребителей электрической энергии (мощности) с присоединенной мощностью менее 0,75 МВА при определении стоимости используется все количество реактивной энергии (мощности), зафиксированное прибором учета реактивной энергии (мощности) вне зависимости от периодов суточных нагрузок.</w:t>
      </w:r>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2" w:name="Par42"/>
      <w:bookmarkEnd w:id="2"/>
      <w:r>
        <w:rPr>
          <w:rFonts w:ascii="Calibri" w:hAnsi="Calibri" w:cs="Calibri"/>
        </w:rPr>
        <w:t>14. Стоимость услуг определяется соглашением сторон, но не выше величины, из расчета, что стоимость компенсированного 1 квар часа не превышает стоимость 1 киловатт часа покупной электрической энергии, указанной в договоре купли-продажи (энергоснабжения) Потребителя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при наличии Договора услуг Заказчик предпринимал самостоятельно меры по приведению фактического значения реактивной энергии (мощности) к оптимальной величине реактивной мощности без предупреждения Исполнителя, то он не вправе претендовать на снижение стоимости оплаты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потребителей, имеющих оборудование тяговых подстанций электрифицированного транспорта, соединенных общей контактной сетью, и имеющих границу балансовой принадлежности с элементами электрической сети (электроустановками) сетевой организацией (далее - группа тяговых подстанций), стоимость услуг по потреблению (выработки) реактивной энергии (мощности) рекомендуется рассчитывать исходя из суммарного потребления (выработки) группой тяговых подстанций.</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итоговом счете и Акте выполненных работ, направляемых Заказчику по Договору услуг Исполнителем, указывается стоимость услуги с приложением расшифровки количества компенсированной реактивной энергии (мощности) в соответствии с графиком по Договору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расчетов может производиться посредством зачета встречных требований в соответствии со </w:t>
      </w:r>
      <w:hyperlink r:id="rId8" w:history="1">
        <w:r>
          <w:rPr>
            <w:rFonts w:ascii="Calibri" w:hAnsi="Calibri" w:cs="Calibri"/>
            <w:color w:val="0000FF"/>
          </w:rPr>
          <w:t>статьей 410</w:t>
        </w:r>
      </w:hyperlink>
      <w:r>
        <w:rPr>
          <w:rFonts w:ascii="Calibri" w:hAnsi="Calibri" w:cs="Calibri"/>
        </w:rPr>
        <w:t xml:space="preserve"> Гражданского кодекса Российской Федерации.</w:t>
      </w:r>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18. Потребление и выработка реактивной мощности (энергии) субъектами электроэнергетики и потребителями электрической энергии (мощности) с присоединенной мощностью электроустановок, равной и более 5 МВА, учитываются АСКУЭ или счетчиками реактивной энергии (мощности) (до установки АСКУЭ) отдельно для периодов максимальных и минимальных суточных нагрузок.</w:t>
      </w:r>
    </w:p>
    <w:p w:rsidR="00CE39B6" w:rsidRDefault="00CE39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 реактивной энергии (мощности) в периоды максимальных и минимальных суточных нагрузок для субъектов электроэнергетики и потребителей электрической энергии (мощности) с присоединенной мощностью электроустановок менее 5 МВА и более 0,75 МВА проводится с помощью средств измерений реактивной энергии (мощности), фиксирующих 30-минутный максимум реактивной нагрузки в периоды максимальных суточных активных нагрузок и обычных средств измерения реактивной энергии (мощности) в периоды минимальных суточных</w:t>
      </w:r>
      <w:proofErr w:type="gramEnd"/>
      <w:r>
        <w:rPr>
          <w:rFonts w:ascii="Calibri" w:hAnsi="Calibri" w:cs="Calibri"/>
        </w:rPr>
        <w:t xml:space="preserve"> активных нагрузок с использованием устройства переключения средств измерения на основе часов.</w:t>
      </w:r>
    </w:p>
    <w:p w:rsidR="00CE39B6" w:rsidRDefault="00CE39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раздельного учета реактивной энергии (мощности) в периоды максимальных и минимальных суточных нагрузок у субъектов электроэнергетики и потребителей электрической энергии (мощности) с присоединенной мощностью менее 5 МВА и более 0,75 МВА определение фактических значений может производиться посредством замеров обычными средствами измерения реактивной энергии (мощности), но не более чем два расчетных периода.</w:t>
      </w:r>
      <w:proofErr w:type="gramEnd"/>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наличии нескольких питающих линий за расчетную реактивную мощность принимают 30-минутный максимум суммарной реактивной нагрузки, определяемый сумматором. При отсутствии сумматора максимум суммарной нагрузки находят как сумму максимумов, зафиксированных указывающими элементами электросчетчиков по каждой из питающих линий.</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Аналогичный порядок определения суммарной компенсации рекомендуется применять и в случае присоединения электроустановок субъекта электроэнергетики и потребителя </w:t>
      </w:r>
      <w:r>
        <w:rPr>
          <w:rFonts w:ascii="Calibri" w:hAnsi="Calibri" w:cs="Calibri"/>
        </w:rPr>
        <w:lastRenderedPageBreak/>
        <w:t>электрической энергии (мощности) к шинам разного напряжения одной подстанции (например, с шин 10 и 35 кВ подстанции 110/35/10 кВ), а также в случае, если счетчик (сумматор) суммирует потребление (выработку) реактивной энергии (мощности) по разным точкам учета (местам установки средств измерения реактивной энергии</w:t>
      </w:r>
      <w:proofErr w:type="gramEnd"/>
      <w:r>
        <w:rPr>
          <w:rFonts w:ascii="Calibri" w:hAnsi="Calibri" w:cs="Calibri"/>
        </w:rPr>
        <w:t xml:space="preserve"> (</w:t>
      </w:r>
      <w:proofErr w:type="gramStart"/>
      <w:r>
        <w:rPr>
          <w:rFonts w:ascii="Calibri" w:hAnsi="Calibri" w:cs="Calibri"/>
        </w:rPr>
        <w:t>мощности) и средствам АСКУЭ), в том числе с различными уровнями напряжения.</w:t>
      </w:r>
      <w:proofErr w:type="gramEnd"/>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21. Для потребителя электрической энергии (мощности) - группы тяговых подстанций суммарную величину компенсации реактивной энергии (мощности) определяют, суммируя соответствующие показания счетчиков, установленных на подстанциях группы.</w:t>
      </w:r>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 xml:space="preserve">22. Допускается отсутствие средств измерения реактивной энергии (мощности) при присоединенной мощности электроустановок, не превышающей 100 КВА. </w:t>
      </w:r>
      <w:proofErr w:type="gramStart"/>
      <w:r>
        <w:rPr>
          <w:rFonts w:ascii="Calibri" w:hAnsi="Calibri" w:cs="Calibri"/>
        </w:rPr>
        <w:t>При этом Договор услуг не заключается, а потребление (выработка) реактивной энергии (мощности) не превышает значений, оговоренных договором присоединения к электрическим сетям, договором оказания услуг по передаче электрической энергии (мощности) или договором энергоснабжения, по которому она имеет право на проведение разовых замеров величин реактивной энергии (мощности) на границе балансовой принадлежности с потребителем.</w:t>
      </w:r>
      <w:proofErr w:type="gramEnd"/>
      <w:r>
        <w:rPr>
          <w:rFonts w:ascii="Calibri" w:hAnsi="Calibri" w:cs="Calibri"/>
        </w:rPr>
        <w:t xml:space="preserve"> В случаях отклонения от величин, установленных договором присоединения, размер ущерба рекомендуется определять в соответствии с </w:t>
      </w:r>
      <w:hyperlink w:anchor="Par55" w:history="1">
        <w:r>
          <w:rPr>
            <w:rFonts w:ascii="Calibri" w:hAnsi="Calibri" w:cs="Calibri"/>
            <w:color w:val="0000FF"/>
          </w:rPr>
          <w:t>пунктом 24</w:t>
        </w:r>
      </w:hyperlink>
      <w:r>
        <w:rPr>
          <w:rFonts w:ascii="Calibri" w:hAnsi="Calibri" w:cs="Calibri"/>
        </w:rPr>
        <w:t xml:space="preserve"> настоящих рекомендаций.</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Для всех остальных потребителей электрической энергии (мощности), за исключением указанных в </w:t>
      </w:r>
      <w:hyperlink w:anchor="Par53" w:history="1">
        <w:r>
          <w:rPr>
            <w:rFonts w:ascii="Calibri" w:hAnsi="Calibri" w:cs="Calibri"/>
            <w:color w:val="0000FF"/>
          </w:rPr>
          <w:t>пункте 22</w:t>
        </w:r>
      </w:hyperlink>
      <w:r>
        <w:rPr>
          <w:rFonts w:ascii="Calibri" w:hAnsi="Calibri" w:cs="Calibri"/>
        </w:rPr>
        <w:t xml:space="preserve"> настоящих рекомендаций, рекомендуется установить средства измерения реактивной энергии (мощности) в соответствии с </w:t>
      </w:r>
      <w:hyperlink w:anchor="Par47" w:history="1">
        <w:r>
          <w:rPr>
            <w:rFonts w:ascii="Calibri" w:hAnsi="Calibri" w:cs="Calibri"/>
            <w:color w:val="0000FF"/>
          </w:rPr>
          <w:t>п. п. 18</w:t>
        </w:r>
      </w:hyperlink>
      <w:r>
        <w:rPr>
          <w:rFonts w:ascii="Calibri" w:hAnsi="Calibri" w:cs="Calibri"/>
        </w:rPr>
        <w:t xml:space="preserve"> - </w:t>
      </w:r>
      <w:hyperlink w:anchor="Par52" w:history="1">
        <w:r>
          <w:rPr>
            <w:rFonts w:ascii="Calibri" w:hAnsi="Calibri" w:cs="Calibri"/>
            <w:color w:val="0000FF"/>
          </w:rPr>
          <w:t>21.</w:t>
        </w:r>
      </w:hyperlink>
    </w:p>
    <w:p w:rsidR="00CE39B6" w:rsidRDefault="00CE39B6">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24. Передача показаний средств измерений реактивной энергии (мощности) сторонам Договора услуг осуществляется организацией, которая эксплуатирует приборы учета, а при ее отсутствии - собственником оборудования, на котором установлены средства измерения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Несанкционированным потреблением (выработкой) реактивной энергии (мощности) является потребление (выработка) реактивной энергии (мощности) при отсутствии:</w:t>
      </w:r>
      <w:proofErr w:type="gramEnd"/>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Договора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условий в договоре присоединения к электрическим сетям, договоре на передачу электрической энергии и договоре энергоснабжения, рекомендованных в </w:t>
      </w:r>
      <w:hyperlink w:anchor="Par16" w:history="1">
        <w:r>
          <w:rPr>
            <w:rFonts w:ascii="Calibri" w:hAnsi="Calibri" w:cs="Calibri"/>
            <w:color w:val="0000FF"/>
          </w:rPr>
          <w:t>п. п. 6,</w:t>
        </w:r>
      </w:hyperlink>
      <w:r>
        <w:rPr>
          <w:rFonts w:ascii="Calibri" w:hAnsi="Calibri" w:cs="Calibri"/>
        </w:rPr>
        <w:t xml:space="preserve"> </w:t>
      </w:r>
      <w:hyperlink w:anchor="Par18" w:history="1">
        <w:r>
          <w:rPr>
            <w:rFonts w:ascii="Calibri" w:hAnsi="Calibri" w:cs="Calibri"/>
            <w:color w:val="0000FF"/>
          </w:rPr>
          <w:t>7;</w:t>
        </w:r>
      </w:hyperlink>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условий Договора услуг.</w:t>
      </w:r>
    </w:p>
    <w:p w:rsidR="00CE39B6" w:rsidRDefault="00CE39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 электроэнергетики, потребитель электрической энергии (мощности), допустивший несанкционированное потребление реактивной энергии (мощности) в периоды максимальных и выработку реактивной энергии (мощности) в периоды минимальных суточных активных нагрузок, оплачивает другому субъекту электроэнергетики, потребителю, имеющему с ним границу балансовой принадлежности электроустановок, - второй стороне по договору присоединения к электрическим сетям, либо договору на оказание услуг по передаче электрической энергии (мощности), или по договору энергоснабжения</w:t>
      </w:r>
      <w:proofErr w:type="gramEnd"/>
      <w:r>
        <w:rPr>
          <w:rFonts w:ascii="Calibri" w:hAnsi="Calibri" w:cs="Calibri"/>
        </w:rPr>
        <w:t xml:space="preserve"> и в соответствии с договоренностью, но не ниже стоимости, определенной в соответствии с </w:t>
      </w:r>
      <w:hyperlink w:anchor="Par42" w:history="1">
        <w:r>
          <w:rPr>
            <w:rFonts w:ascii="Calibri" w:hAnsi="Calibri" w:cs="Calibri"/>
            <w:color w:val="0000FF"/>
          </w:rPr>
          <w:t>пунктом 14</w:t>
        </w:r>
      </w:hyperlink>
      <w:r>
        <w:rPr>
          <w:rFonts w:ascii="Calibri" w:hAnsi="Calibri" w:cs="Calibri"/>
        </w:rPr>
        <w:t xml:space="preserve"> настоящих рекомендаций.</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Ущерб из-за снижения качества электрической энергии, причиной которого послужило несанкционированное потребление, выработка реактивной энергии (мощности), возникший у третьих лиц, подлежит возмещению лицом (стороной), виновной в несанкционированном потреблении, выработке реактивной энергии (мощности).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виновного лица добровольно возместить ущерб разногласия решаются в порядке, установленном действующим законодательством.</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причины ограничения (прекращения) подачи электрической энергии вызваны необходимостью предотвращения или устранения последствий аварии (в оборудовании, электроустановок любого из субъектов электроэнергетики или потребителя электрической энергии) по причине несанкционированного потребления (выработки) реактивной энергии (мощности), а также невыполнения условий Договора услуг, ограничение производится в порядке, установленном для аварийных электроэнергетических режимов (в соответствии со </w:t>
      </w:r>
      <w:hyperlink r:id="rId9" w:history="1">
        <w:r>
          <w:rPr>
            <w:rFonts w:ascii="Calibri" w:hAnsi="Calibri" w:cs="Calibri"/>
            <w:color w:val="0000FF"/>
          </w:rPr>
          <w:t>статьями 542,</w:t>
        </w:r>
      </w:hyperlink>
      <w:r>
        <w:rPr>
          <w:rFonts w:ascii="Calibri" w:hAnsi="Calibri" w:cs="Calibri"/>
        </w:rPr>
        <w:t xml:space="preserve"> </w:t>
      </w:r>
      <w:hyperlink r:id="rId10" w:history="1">
        <w:r>
          <w:rPr>
            <w:rFonts w:ascii="Calibri" w:hAnsi="Calibri" w:cs="Calibri"/>
            <w:color w:val="0000FF"/>
          </w:rPr>
          <w:t>546</w:t>
        </w:r>
      </w:hyperlink>
      <w:r>
        <w:rPr>
          <w:rFonts w:ascii="Calibri" w:hAnsi="Calibri" w:cs="Calibri"/>
        </w:rPr>
        <w:t xml:space="preserve"> Гражданского кодекса Российской Федерации), при условии немедленного уведомления об этом потребителей электрической энергии и субъектов электроэнергетики, которым ограничивается (прекращается) подача электрической энергии.</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всех субъектов электроэнергетики и потребителей осуществляет </w:t>
      </w:r>
      <w:r>
        <w:rPr>
          <w:rFonts w:ascii="Calibri" w:hAnsi="Calibri" w:cs="Calibri"/>
        </w:rPr>
        <w:lastRenderedPageBreak/>
        <w:t>соответствующая сетевая организация, а в случаях наличия отношений по договору энергоснабжения - энергоснабжающая организация.</w:t>
      </w:r>
    </w:p>
    <w:p w:rsidR="00CE39B6" w:rsidRDefault="00CE39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ограничения подачи электрической энергии (отключения потребителя) регламентируется нормативными правовыми актами Российской Федерации.</w:t>
      </w:r>
    </w:p>
    <w:p w:rsidR="00CE39B6" w:rsidRDefault="00CE39B6">
      <w:pPr>
        <w:widowControl w:val="0"/>
        <w:autoSpaceDE w:val="0"/>
        <w:autoSpaceDN w:val="0"/>
        <w:adjustRightInd w:val="0"/>
        <w:spacing w:after="0" w:line="240" w:lineRule="auto"/>
        <w:ind w:firstLine="540"/>
        <w:jc w:val="both"/>
        <w:rPr>
          <w:rFonts w:ascii="Calibri" w:hAnsi="Calibri" w:cs="Calibri"/>
        </w:rPr>
      </w:pPr>
    </w:p>
    <w:p w:rsidR="00CE39B6" w:rsidRDefault="00CE39B6">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CE39B6" w:rsidRDefault="00CE39B6">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и энергетики РФ</w:t>
      </w:r>
    </w:p>
    <w:p w:rsidR="00CE39B6" w:rsidRDefault="00CE39B6">
      <w:pPr>
        <w:widowControl w:val="0"/>
        <w:autoSpaceDE w:val="0"/>
        <w:autoSpaceDN w:val="0"/>
        <w:adjustRightInd w:val="0"/>
        <w:spacing w:after="0" w:line="240" w:lineRule="auto"/>
        <w:jc w:val="right"/>
        <w:rPr>
          <w:rFonts w:ascii="Calibri" w:hAnsi="Calibri" w:cs="Calibri"/>
        </w:rPr>
      </w:pPr>
      <w:r>
        <w:rPr>
          <w:rFonts w:ascii="Calibri" w:hAnsi="Calibri" w:cs="Calibri"/>
        </w:rPr>
        <w:t>И.С.МАТЕРОВ</w:t>
      </w:r>
    </w:p>
    <w:p w:rsidR="00CE39B6" w:rsidRDefault="00CE39B6">
      <w:pPr>
        <w:widowControl w:val="0"/>
        <w:autoSpaceDE w:val="0"/>
        <w:autoSpaceDN w:val="0"/>
        <w:adjustRightInd w:val="0"/>
        <w:spacing w:after="0" w:line="240" w:lineRule="auto"/>
        <w:ind w:firstLine="540"/>
        <w:jc w:val="both"/>
        <w:rPr>
          <w:rFonts w:ascii="Calibri" w:hAnsi="Calibri" w:cs="Calibri"/>
        </w:rPr>
      </w:pPr>
    </w:p>
    <w:p w:rsidR="00CE39B6" w:rsidRDefault="00CE39B6">
      <w:pPr>
        <w:widowControl w:val="0"/>
        <w:autoSpaceDE w:val="0"/>
        <w:autoSpaceDN w:val="0"/>
        <w:adjustRightInd w:val="0"/>
        <w:spacing w:after="0" w:line="240" w:lineRule="auto"/>
        <w:ind w:firstLine="540"/>
        <w:jc w:val="both"/>
        <w:rPr>
          <w:rFonts w:ascii="Calibri" w:hAnsi="Calibri" w:cs="Calibri"/>
        </w:rPr>
      </w:pPr>
    </w:p>
    <w:p w:rsidR="00CE39B6" w:rsidRDefault="00CE39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2C0C" w:rsidRDefault="004A2C0C">
      <w:bookmarkStart w:id="7" w:name="_GoBack"/>
      <w:bookmarkEnd w:id="7"/>
    </w:p>
    <w:sectPr w:rsidR="004A2C0C" w:rsidSect="0041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B6"/>
    <w:rsid w:val="004A2C0C"/>
    <w:rsid w:val="00CE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FEFF334CE1F897187037C2463C8E7066F46F9D3F0312F6FA801991F0414B342C85B6C424C7414I7FCF" TargetMode="External"/><Relationship Id="rId3" Type="http://schemas.openxmlformats.org/officeDocument/2006/relationships/settings" Target="settings.xml"/><Relationship Id="rId7" Type="http://schemas.openxmlformats.org/officeDocument/2006/relationships/hyperlink" Target="consultantplus://offline/ref=C11FEFF334CE1F897187037C2463C8E7036B43FFD6FD6C2567F10D9B180B4BA44581576D404F7DI1F9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1FEFF334CE1F897187037C2463C8E7036B43FFD6FD6C2567F10D9B180B4BA44581576D404F7DI1F4F" TargetMode="External"/><Relationship Id="rId11" Type="http://schemas.openxmlformats.org/officeDocument/2006/relationships/fontTable" Target="fontTable.xml"/><Relationship Id="rId5" Type="http://schemas.openxmlformats.org/officeDocument/2006/relationships/hyperlink" Target="consultantplus://offline/ref=C11FEFF334CE1F897187037C2463C8E7066C46F9D4FF312F6FA801991F0414B342C85B6C424D7F11I7FEF" TargetMode="External"/><Relationship Id="rId10" Type="http://schemas.openxmlformats.org/officeDocument/2006/relationships/hyperlink" Target="consultantplus://offline/ref=C11FEFF334CE1F897187037C2463C8E7066C46F9D4F7312F6FA801991F0414B342C85B6C424D7910I7FBF" TargetMode="External"/><Relationship Id="rId4" Type="http://schemas.openxmlformats.org/officeDocument/2006/relationships/webSettings" Target="webSettings.xml"/><Relationship Id="rId9" Type="http://schemas.openxmlformats.org/officeDocument/2006/relationships/hyperlink" Target="consultantplus://offline/ref=C11FEFF334CE1F897187037C2463C8E7066C46F9D4F7312F6FA801991F0414B342C85B6C424D7911I7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2551</Words>
  <Characters>14544</Characters>
  <Application>Microsoft Office Word</Application>
  <DocSecurity>0</DocSecurity>
  <Lines>121</Lines>
  <Paragraphs>34</Paragraphs>
  <ScaleCrop>false</ScaleCrop>
  <Company>ОАО "МРСК Волги"</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Усова Юлия Валентиновна</dc:creator>
  <cp:lastModifiedBy>Усова Юлия Валентиновна</cp:lastModifiedBy>
  <cp:revision>1</cp:revision>
  <dcterms:created xsi:type="dcterms:W3CDTF">2014-08-07T05:05:00Z</dcterms:created>
  <dcterms:modified xsi:type="dcterms:W3CDTF">2014-08-07T05:05:00Z</dcterms:modified>
</cp:coreProperties>
</file>